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ind w:firstLine="0"/>
        <w:jc w:val="left"/>
        <w:rPr>
          <w:rFonts w:hint="eastAsia" w:ascii="黑体" w:hAnsi="黑体" w:eastAsia="黑体" w:cs="黑体"/>
          <w:bCs/>
          <w:color w:val="auto"/>
          <w:sz w:val="32"/>
          <w:szCs w:val="32"/>
          <w:u w:val="none"/>
          <w:lang w:val="en-US" w:eastAsia="zh-CN"/>
        </w:rPr>
      </w:pPr>
      <w:r>
        <w:rPr>
          <w:rFonts w:hint="eastAsia" w:ascii="黑体" w:hAnsi="黑体" w:eastAsia="黑体" w:cs="黑体"/>
          <w:bCs/>
          <w:color w:val="auto"/>
          <w:sz w:val="32"/>
          <w:szCs w:val="32"/>
          <w:u w:val="none"/>
          <w:lang w:eastAsia="zh-CN"/>
        </w:rPr>
        <w:t>附件</w:t>
      </w:r>
      <w:r>
        <w:rPr>
          <w:rFonts w:hint="eastAsia" w:ascii="黑体" w:hAnsi="黑体" w:eastAsia="黑体" w:cs="黑体"/>
          <w:bCs/>
          <w:color w:val="auto"/>
          <w:sz w:val="32"/>
          <w:szCs w:val="32"/>
          <w:u w:val="none"/>
          <w:lang w:val="en-US" w:eastAsia="zh-CN"/>
        </w:rPr>
        <w:t>：</w:t>
      </w:r>
    </w:p>
    <w:p>
      <w:pPr>
        <w:pStyle w:val="2"/>
        <w:snapToGrid w:val="0"/>
        <w:ind w:firstLine="0"/>
        <w:jc w:val="center"/>
        <w:rPr>
          <w:rFonts w:hint="eastAsia" w:ascii="楷体" w:hAnsi="楷体" w:eastAsia="楷体" w:cs="楷体"/>
          <w:b/>
          <w:bCs/>
          <w:color w:val="auto"/>
          <w:sz w:val="40"/>
          <w:szCs w:val="40"/>
          <w:u w:val="none"/>
        </w:rPr>
      </w:pPr>
      <w:r>
        <w:rPr>
          <w:rFonts w:hint="eastAsia" w:ascii="楷体" w:hAnsi="楷体" w:eastAsia="楷体" w:cs="楷体"/>
          <w:b/>
          <w:bCs/>
          <w:color w:val="auto"/>
          <w:sz w:val="40"/>
          <w:szCs w:val="40"/>
          <w:u w:val="none"/>
        </w:rPr>
        <w:t>湖南科技学院20</w:t>
      </w:r>
      <w:r>
        <w:rPr>
          <w:rFonts w:hint="eastAsia" w:ascii="楷体" w:hAnsi="楷体" w:eastAsia="楷体" w:cs="楷体"/>
          <w:b/>
          <w:bCs/>
          <w:color w:val="auto"/>
          <w:sz w:val="40"/>
          <w:szCs w:val="40"/>
          <w:u w:val="none"/>
          <w:lang w:val="en-US" w:eastAsia="zh-CN"/>
        </w:rPr>
        <w:t>24</w:t>
      </w:r>
      <w:r>
        <w:rPr>
          <w:rFonts w:hint="eastAsia" w:ascii="楷体" w:hAnsi="楷体" w:eastAsia="楷体" w:cs="楷体"/>
          <w:b/>
          <w:bCs/>
          <w:color w:val="auto"/>
          <w:sz w:val="40"/>
          <w:szCs w:val="40"/>
          <w:u w:val="none"/>
        </w:rPr>
        <w:t>年</w:t>
      </w:r>
      <w:r>
        <w:rPr>
          <w:rFonts w:hint="eastAsia" w:ascii="楷体" w:hAnsi="楷体" w:eastAsia="楷体" w:cs="楷体"/>
          <w:b/>
          <w:bCs/>
          <w:color w:val="auto"/>
          <w:sz w:val="40"/>
          <w:szCs w:val="40"/>
          <w:u w:val="none"/>
          <w:lang w:eastAsia="zh-CN"/>
        </w:rPr>
        <w:t>校级</w:t>
      </w:r>
      <w:r>
        <w:rPr>
          <w:rFonts w:hint="eastAsia" w:ascii="楷体" w:hAnsi="楷体" w:eastAsia="楷体" w:cs="楷体"/>
          <w:b/>
          <w:bCs/>
          <w:color w:val="auto"/>
          <w:sz w:val="40"/>
          <w:szCs w:val="40"/>
          <w:u w:val="none"/>
        </w:rPr>
        <w:t>教学改革研究项目立项名单</w:t>
      </w:r>
    </w:p>
    <w:p>
      <w:pPr>
        <w:rPr>
          <w:rFonts w:hint="eastAsia"/>
          <w:u w:val="none"/>
        </w:rPr>
      </w:pPr>
    </w:p>
    <w:tbl>
      <w:tblPr>
        <w:tblStyle w:val="3"/>
        <w:tblW w:w="14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4426"/>
        <w:gridCol w:w="1118"/>
        <w:gridCol w:w="3123"/>
        <w:gridCol w:w="2215"/>
        <w:gridCol w:w="1139"/>
        <w:gridCol w:w="1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446" w:type="dxa"/>
            <w:noWrap w:val="0"/>
            <w:vAlign w:val="center"/>
          </w:tcPr>
          <w:p>
            <w:pPr>
              <w:pStyle w:val="2"/>
              <w:keepNext w:val="0"/>
              <w:keepLines w:val="0"/>
              <w:pageBreakBefore w:val="0"/>
              <w:widowControl/>
              <w:kinsoku/>
              <w:wordWrap/>
              <w:overflowPunct/>
              <w:topLinePunct w:val="0"/>
              <w:autoSpaceDE/>
              <w:autoSpaceDN/>
              <w:bidi w:val="0"/>
              <w:adjustRightInd/>
              <w:snapToGrid w:val="0"/>
              <w:spacing w:line="240" w:lineRule="auto"/>
              <w:ind w:firstLine="0"/>
              <w:jc w:val="center"/>
              <w:rPr>
                <w:rFonts w:hint="eastAsia" w:ascii="楷体" w:hAnsi="楷体" w:eastAsia="楷体" w:cs="楷体"/>
                <w:b/>
                <w:color w:val="auto"/>
                <w:sz w:val="22"/>
                <w:szCs w:val="22"/>
                <w:u w:val="none"/>
                <w:lang w:eastAsia="zh-CN"/>
              </w:rPr>
            </w:pPr>
            <w:r>
              <w:rPr>
                <w:rFonts w:hint="eastAsia" w:ascii="楷体" w:hAnsi="楷体" w:eastAsia="楷体" w:cs="楷体"/>
                <w:b/>
                <w:color w:val="auto"/>
                <w:sz w:val="22"/>
                <w:szCs w:val="22"/>
                <w:u w:val="none"/>
                <w:lang w:eastAsia="zh-CN"/>
              </w:rPr>
              <w:t>项目编号</w:t>
            </w:r>
          </w:p>
        </w:tc>
        <w:tc>
          <w:tcPr>
            <w:tcW w:w="4426" w:type="dxa"/>
            <w:noWrap w:val="0"/>
            <w:vAlign w:val="center"/>
          </w:tcPr>
          <w:p>
            <w:pPr>
              <w:pStyle w:val="2"/>
              <w:keepNext w:val="0"/>
              <w:keepLines w:val="0"/>
              <w:pageBreakBefore w:val="0"/>
              <w:widowControl/>
              <w:kinsoku/>
              <w:wordWrap/>
              <w:overflowPunct/>
              <w:topLinePunct w:val="0"/>
              <w:autoSpaceDE/>
              <w:autoSpaceDN/>
              <w:bidi w:val="0"/>
              <w:adjustRightInd/>
              <w:snapToGrid w:val="0"/>
              <w:spacing w:line="240" w:lineRule="auto"/>
              <w:ind w:firstLine="0"/>
              <w:jc w:val="center"/>
              <w:rPr>
                <w:rFonts w:hint="eastAsia" w:ascii="楷体" w:hAnsi="楷体" w:eastAsia="楷体" w:cs="楷体"/>
                <w:b/>
                <w:color w:val="auto"/>
                <w:sz w:val="22"/>
                <w:szCs w:val="22"/>
                <w:u w:val="none"/>
              </w:rPr>
            </w:pPr>
            <w:r>
              <w:rPr>
                <w:rFonts w:hint="eastAsia" w:ascii="楷体" w:hAnsi="楷体" w:eastAsia="楷体" w:cs="楷体"/>
                <w:b/>
                <w:color w:val="auto"/>
                <w:sz w:val="22"/>
                <w:szCs w:val="22"/>
                <w:u w:val="none"/>
              </w:rPr>
              <w:t>项　目　名　称</w:t>
            </w:r>
          </w:p>
        </w:tc>
        <w:tc>
          <w:tcPr>
            <w:tcW w:w="1118" w:type="dxa"/>
            <w:noWrap w:val="0"/>
            <w:vAlign w:val="center"/>
          </w:tcPr>
          <w:p>
            <w:pPr>
              <w:pStyle w:val="2"/>
              <w:keepNext w:val="0"/>
              <w:keepLines w:val="0"/>
              <w:pageBreakBefore w:val="0"/>
              <w:widowControl/>
              <w:kinsoku/>
              <w:wordWrap/>
              <w:overflowPunct/>
              <w:topLinePunct w:val="0"/>
              <w:autoSpaceDE/>
              <w:autoSpaceDN/>
              <w:bidi w:val="0"/>
              <w:adjustRightInd/>
              <w:snapToGrid w:val="0"/>
              <w:spacing w:line="240" w:lineRule="auto"/>
              <w:ind w:firstLine="0"/>
              <w:jc w:val="center"/>
              <w:rPr>
                <w:rFonts w:hint="eastAsia" w:ascii="楷体" w:hAnsi="楷体" w:eastAsia="楷体" w:cs="楷体"/>
                <w:b/>
                <w:color w:val="auto"/>
                <w:sz w:val="22"/>
                <w:szCs w:val="22"/>
                <w:u w:val="none"/>
              </w:rPr>
            </w:pPr>
            <w:r>
              <w:rPr>
                <w:rFonts w:hint="eastAsia" w:ascii="楷体" w:hAnsi="楷体" w:eastAsia="楷体" w:cs="楷体"/>
                <w:b/>
                <w:color w:val="auto"/>
                <w:sz w:val="22"/>
                <w:szCs w:val="22"/>
                <w:u w:val="none"/>
              </w:rPr>
              <w:t>主持人</w:t>
            </w:r>
          </w:p>
        </w:tc>
        <w:tc>
          <w:tcPr>
            <w:tcW w:w="3123" w:type="dxa"/>
            <w:noWrap w:val="0"/>
            <w:vAlign w:val="center"/>
          </w:tcPr>
          <w:p>
            <w:pPr>
              <w:pStyle w:val="2"/>
              <w:keepNext w:val="0"/>
              <w:keepLines w:val="0"/>
              <w:pageBreakBefore w:val="0"/>
              <w:widowControl/>
              <w:kinsoku/>
              <w:wordWrap/>
              <w:overflowPunct/>
              <w:topLinePunct w:val="0"/>
              <w:autoSpaceDE/>
              <w:autoSpaceDN/>
              <w:bidi w:val="0"/>
              <w:adjustRightInd/>
              <w:snapToGrid w:val="0"/>
              <w:spacing w:line="240" w:lineRule="auto"/>
              <w:ind w:firstLine="0"/>
              <w:jc w:val="center"/>
              <w:rPr>
                <w:rFonts w:hint="eastAsia" w:ascii="楷体" w:hAnsi="楷体" w:eastAsia="楷体" w:cs="楷体"/>
                <w:b/>
                <w:color w:val="auto"/>
                <w:sz w:val="22"/>
                <w:szCs w:val="22"/>
                <w:u w:val="none"/>
              </w:rPr>
            </w:pPr>
            <w:r>
              <w:rPr>
                <w:rFonts w:hint="eastAsia" w:ascii="楷体" w:hAnsi="楷体" w:eastAsia="楷体" w:cs="楷体"/>
                <w:b/>
                <w:color w:val="auto"/>
                <w:sz w:val="22"/>
                <w:szCs w:val="22"/>
                <w:u w:val="none"/>
              </w:rPr>
              <w:t>参加人员</w:t>
            </w:r>
          </w:p>
        </w:tc>
        <w:tc>
          <w:tcPr>
            <w:tcW w:w="2215" w:type="dxa"/>
            <w:noWrap w:val="0"/>
            <w:vAlign w:val="center"/>
          </w:tcPr>
          <w:p>
            <w:pPr>
              <w:pStyle w:val="2"/>
              <w:keepNext w:val="0"/>
              <w:keepLines w:val="0"/>
              <w:pageBreakBefore w:val="0"/>
              <w:widowControl/>
              <w:kinsoku/>
              <w:wordWrap/>
              <w:overflowPunct/>
              <w:topLinePunct w:val="0"/>
              <w:autoSpaceDE/>
              <w:autoSpaceDN/>
              <w:bidi w:val="0"/>
              <w:adjustRightInd/>
              <w:snapToGrid w:val="0"/>
              <w:spacing w:line="240" w:lineRule="auto"/>
              <w:ind w:firstLine="0"/>
              <w:jc w:val="center"/>
              <w:rPr>
                <w:rFonts w:hint="eastAsia" w:ascii="楷体" w:hAnsi="楷体" w:eastAsia="楷体" w:cs="楷体"/>
                <w:b/>
                <w:color w:val="auto"/>
                <w:sz w:val="22"/>
                <w:szCs w:val="22"/>
                <w:u w:val="none"/>
                <w:lang w:val="en-US" w:eastAsia="zh-CN"/>
              </w:rPr>
            </w:pPr>
            <w:r>
              <w:rPr>
                <w:rFonts w:hint="eastAsia" w:ascii="楷体" w:hAnsi="楷体" w:eastAsia="楷体" w:cs="楷体"/>
                <w:b/>
                <w:color w:val="auto"/>
                <w:sz w:val="22"/>
                <w:szCs w:val="22"/>
                <w:u w:val="none"/>
              </w:rPr>
              <w:t>所在</w:t>
            </w:r>
            <w:r>
              <w:rPr>
                <w:rFonts w:hint="eastAsia" w:ascii="楷体" w:hAnsi="楷体" w:eastAsia="楷体" w:cs="楷体"/>
                <w:b/>
                <w:color w:val="auto"/>
                <w:sz w:val="22"/>
                <w:szCs w:val="22"/>
                <w:u w:val="none"/>
                <w:lang w:val="en-US" w:eastAsia="zh-CN"/>
              </w:rPr>
              <w:t>部门</w:t>
            </w:r>
          </w:p>
        </w:tc>
        <w:tc>
          <w:tcPr>
            <w:tcW w:w="113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楷体" w:hAnsi="楷体" w:eastAsia="楷体" w:cs="楷体"/>
                <w:i w:val="0"/>
                <w:color w:val="000000"/>
                <w:kern w:val="2"/>
                <w:sz w:val="22"/>
                <w:szCs w:val="22"/>
                <w:u w:val="none"/>
                <w:lang w:val="en-US" w:eastAsia="zh-CN" w:bidi="ar-SA"/>
              </w:rPr>
            </w:pPr>
            <w:r>
              <w:rPr>
                <w:rFonts w:hint="eastAsia" w:ascii="楷体" w:hAnsi="楷体" w:eastAsia="楷体" w:cs="楷体"/>
                <w:b/>
                <w:color w:val="auto"/>
                <w:kern w:val="0"/>
                <w:sz w:val="22"/>
                <w:szCs w:val="22"/>
                <w:u w:val="none"/>
                <w:lang w:val="en-US" w:eastAsia="zh-CN" w:bidi="ar-SA"/>
              </w:rPr>
              <w:t>项目类别</w:t>
            </w:r>
          </w:p>
        </w:tc>
        <w:tc>
          <w:tcPr>
            <w:tcW w:w="130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楷体" w:hAnsi="楷体" w:eastAsia="楷体" w:cs="楷体"/>
                <w:b/>
                <w:color w:val="auto"/>
                <w:kern w:val="0"/>
                <w:sz w:val="22"/>
                <w:szCs w:val="22"/>
                <w:u w:val="none"/>
                <w:lang w:val="en-US" w:eastAsia="zh-CN" w:bidi="ar-SA"/>
              </w:rPr>
            </w:pPr>
            <w:r>
              <w:rPr>
                <w:rFonts w:hint="eastAsia" w:ascii="楷体" w:hAnsi="楷体" w:eastAsia="楷体" w:cs="楷体"/>
                <w:b/>
                <w:color w:val="auto"/>
                <w:kern w:val="0"/>
                <w:sz w:val="22"/>
                <w:szCs w:val="22"/>
                <w:u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XKYJ2024001</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《中外名记者专题》 课程思政的教育实践研究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颜霞</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刘芝庭、徐佾夫</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传媒学院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XKYJ2024002</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新工科背景下智能制造工程专业实践教学体系的探索与实践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唐志好</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顾晓猛、蒋小健、夏铁军</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智能制造学院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XKYJ2024003</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基于毕业生就业能力影响因素模型分析的地方普通高校大学生就业能力培养路径研究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唐艳华</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宋秋云、胡清华、李佩桦</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创新创业学院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XKYJ2024004</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师范专业认证背景下课程思政融入大学生心理健康教育教学改革与实践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欧阳素勤</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刘华、刘春梅、王琳、翟宇涵</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理学院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XKYJ2024005</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基于专业认证的人才培养满意度评估体系与人才需求调查研究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胡勇胜</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周晓薇</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教务处</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XKYJ2024006</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“五育融合”视域下大学英语课程思政教学改革研究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杨璐</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张云芳、谭浩亮、卢丽萍</w:t>
            </w:r>
          </w:p>
        </w:tc>
        <w:tc>
          <w:tcPr>
            <w:tcW w:w="2215" w:type="dxa"/>
            <w:noWrap w:val="0"/>
            <w:vAlign w:val="center"/>
          </w:tcPr>
          <w:p>
            <w:pPr>
              <w:keepNext w:val="0"/>
              <w:keepLines w:val="0"/>
              <w:widowControl/>
              <w:suppressLineNumbers w:val="0"/>
              <w:jc w:val="center"/>
              <w:textAlignment w:val="center"/>
              <w:rPr>
                <w:rFonts w:hint="default"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外国语学院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XKYJ2024007</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新文科背景下国贸专业数字化转型研究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方芳</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袁岳驷、黄超群、朱文蔚</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经济与管理学院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XKYJ2024008</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曼陀罗绘画在大学生心理健康课程中的应用研究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申雯</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彭阳、邓海良</w:t>
            </w:r>
          </w:p>
        </w:tc>
        <w:tc>
          <w:tcPr>
            <w:tcW w:w="2215" w:type="dxa"/>
            <w:noWrap w:val="0"/>
            <w:vAlign w:val="center"/>
          </w:tcPr>
          <w:p>
            <w:pPr>
              <w:keepNext w:val="0"/>
              <w:keepLines w:val="0"/>
              <w:widowControl/>
              <w:suppressLineNumbers w:val="0"/>
              <w:jc w:val="center"/>
              <w:textAlignment w:val="center"/>
              <w:rPr>
                <w:rFonts w:hint="default"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土木与环境工程学院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XKYJ2024009</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新文科背景下数字化赋能大学生英语写作能力提升路径研究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唐建福</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何昕、胡伶俐、唐晨</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外国语学院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XKYJ2024010</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数字化背景下高校推进视觉传达设计专业插画设计课程产教融合的模式研究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魏雅楠</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唐舟、成艺、陈璐琦</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美术与艺术设计学院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lang w:val="en-US" w:eastAsia="zh-CN"/>
              </w:rPr>
            </w:pPr>
            <w:r>
              <w:rPr>
                <w:rFonts w:hint="eastAsia" w:ascii="楷体" w:hAnsi="楷体" w:eastAsia="楷体" w:cs="楷体"/>
                <w:i w:val="0"/>
                <w:iCs w:val="0"/>
                <w:color w:val="000000"/>
                <w:kern w:val="0"/>
                <w:sz w:val="22"/>
                <w:szCs w:val="22"/>
                <w:u w:val="none"/>
                <w:lang w:val="en-US" w:eastAsia="zh-CN" w:bidi="ar"/>
              </w:rPr>
              <w:t>重点项目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XKYJ2024011</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永州红色文化融入“马克思主义基本原理”课程教学全过程研究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李定坤</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李钟麟、郭开虎、高鹏、谢周艳</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马克思主义学院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XKYJ2024012</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工程教育专业认证视域下通信工程专业课程体系优化与学士学位授予质量提升研究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黄堂森</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尹向东、罗恩韬、韦美雁、潘学文</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信息工程学院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XKYJ2024013</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基于地方本科院校双创实践育人体系研究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周忠夏</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赵荣生、彭丰香、龙泉、唐艳华</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创新创业学院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XKYJ2024014</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基于产教融合的校企协同育人机制探索与研究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蒋小健</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黎林梅、王鑫昱、陈伯厅</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智能制造学院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XKYJ2024015</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数字赋能地方应用型本科院校“中国建筑史” 教学研究与实践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阳金辰</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李玉杰、卢娟、姚鹏珍</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土木与环境工程学院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XKYJ2024016</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新文科视域下地方应用高校商务英语专业核心课程“三融合”教学改革与实践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潘缌缌</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何丽萍、王敏、欧阳超群</w:t>
            </w:r>
          </w:p>
        </w:tc>
        <w:tc>
          <w:tcPr>
            <w:tcW w:w="2215" w:type="dxa"/>
            <w:noWrap w:val="0"/>
            <w:vAlign w:val="center"/>
          </w:tcPr>
          <w:p>
            <w:pPr>
              <w:keepNext w:val="0"/>
              <w:keepLines w:val="0"/>
              <w:widowControl/>
              <w:suppressLineNumbers w:val="0"/>
              <w:jc w:val="center"/>
              <w:textAlignment w:val="center"/>
              <w:rPr>
                <w:rFonts w:hint="default"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外国语学院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XKYJ2024017</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工程教育认证背景下高等数学课程教学改革与实践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许宏飞</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刘春梅、伍双武、曾方青</w:t>
            </w:r>
          </w:p>
        </w:tc>
        <w:tc>
          <w:tcPr>
            <w:tcW w:w="2215" w:type="dxa"/>
            <w:noWrap w:val="0"/>
            <w:vAlign w:val="center"/>
          </w:tcPr>
          <w:p>
            <w:pPr>
              <w:keepNext w:val="0"/>
              <w:keepLines w:val="0"/>
              <w:widowControl/>
              <w:suppressLineNumbers w:val="0"/>
              <w:jc w:val="center"/>
              <w:textAlignment w:val="center"/>
              <w:rPr>
                <w:rFonts w:hint="default"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理学院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XKYJ2024018</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新时代地方本科院校高等学历继续教育教学质量监控体系研究与实践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李黎明</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杨建军、王永春、李玲香</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继续教育学院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XKYJ2024019</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中华体育精神融入高校公共体育课程思政的价值、路径与实践研究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高源</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刘华剑、李俊、苏阳阳</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体育学院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XKYJ2024020</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新商科背景下学科竞赛驱动的电子商务课程教学改革研究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罗婷</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胡雨、龙海峰</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经济与管理学院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XKYJ2024021</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永州地方优秀传统文化融入传媒类实践课程的教学探索</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马红芝</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徐佾夫、胡少婷、龙琴琴</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传媒学院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XKYJ2024022</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教育数字化背景下地方高校师范生职前与职后一体化培养的探索与实践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谭娟</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薛晓铂</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发展规划与学科建设处</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XKYJ2024023</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数字赋能背景下高校师范专业教师数字化素养提升研究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段元梅</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陈世灯、文丽萍、唐雅媛</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信息工程学院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XKYJ2024024</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积极心理学视域下大学生就业能力提升路径——基于团体辅导体验式教学法</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李国碧</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王博、胡敏辉、付星星、史彦</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美术与艺术设计学院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kern w:val="2"/>
                <w:sz w:val="22"/>
                <w:szCs w:val="22"/>
                <w:lang w:val="en-US" w:eastAsia="zh-CN" w:bidi="ar-SA"/>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XKYJ2024025</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地方高校来华留学生《中国概况》课程思政教学实践—以湖南科技学院为例</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任景赛</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刘堃、唐忠林</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国际交流与合作处</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XKYJ2024026</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数字化背景下地方高校混合式教学改革面临的问题及对策研究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邓雄昌</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魏建新、胡蓉、肖海涛</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党政办</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XKYJ2024027</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教育数字化背景下高校第二课堂拓展性课程构建</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万李</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程文志、全伟、刘晓慧、胡晓</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团委</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XKYJ2024028</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慕课背景下汉语言文学专业中国古代文学课程教学模式研究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林耀琳</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刘新征、肖献军、周孟战</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文法学院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XKYJ2024029</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法律检索在法学案例实践教学中的应用研究与实践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唐苏铃</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包红光、黄栋梁、肖文涛、徐宏</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文法学院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XKYJ2024030</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永州地方优秀传统文化融入《英语导游实务》“课程思政”教学全过程研究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曾荣</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姚先林、李晓红、Abate Meseret Chanie</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旅游与文化产业学院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jc w:val="center"/>
              <w:rPr>
                <w:rFonts w:hint="eastAsia" w:ascii="楷体" w:hAnsi="楷体" w:eastAsia="楷体" w:cs="楷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XKYJ2024031</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基于STEAM教育理念的高校美育教学改革研究与实践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刘兰倩</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李伟、莫大尼、吕文青</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音乐与舞蹈学院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不资助经费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XKYJ2024032</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信息化建设背景下高校档案文化育人研究</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廖利香</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张俭民、蒋露茜、盛新福、贾丽君</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人事处</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不资助经费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XKYJ2024033</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基于地方高校实验实训教学管理模式改革研究——以生物学为例</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杨华</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李百元、王宗成、沈玉平、汪美凤</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化学与生物工程学院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2"/>
                <w:szCs w:val="22"/>
                <w:u w:val="none"/>
                <w:lang w:val="en-US" w:eastAsia="zh-CN" w:bidi="ar"/>
              </w:rPr>
              <w:t>一般项目</w:t>
            </w:r>
          </w:p>
        </w:tc>
        <w:tc>
          <w:tcPr>
            <w:tcW w:w="1303" w:type="dxa"/>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不资助经费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4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1"/>
                <w:szCs w:val="21"/>
                <w:u w:val="none"/>
                <w:lang w:val="en-US" w:eastAsia="zh-CN" w:bidi="ar"/>
              </w:rPr>
              <w:t>XKYJ2024034</w:t>
            </w:r>
          </w:p>
        </w:tc>
        <w:tc>
          <w:tcPr>
            <w:tcW w:w="4426"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1"/>
                <w:szCs w:val="21"/>
                <w:u w:val="none"/>
                <w:lang w:val="en-US" w:eastAsia="zh-CN" w:bidi="ar"/>
              </w:rPr>
              <w:t>开展高效课堂推动大中小学思政一体化的探索与实践</w:t>
            </w:r>
          </w:p>
        </w:tc>
        <w:tc>
          <w:tcPr>
            <w:tcW w:w="1118"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1"/>
                <w:szCs w:val="21"/>
                <w:u w:val="none"/>
                <w:lang w:val="en-US" w:eastAsia="zh-CN" w:bidi="ar"/>
              </w:rPr>
              <w:t>王珂</w:t>
            </w:r>
          </w:p>
        </w:tc>
        <w:tc>
          <w:tcPr>
            <w:tcW w:w="3123"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1"/>
                <w:szCs w:val="21"/>
                <w:u w:val="none"/>
                <w:lang w:val="en-US" w:eastAsia="zh-CN" w:bidi="ar"/>
              </w:rPr>
              <w:t>王珂、袁岳驷、孙顺利、唐丽君</w:t>
            </w:r>
          </w:p>
        </w:tc>
        <w:tc>
          <w:tcPr>
            <w:tcW w:w="2215" w:type="dxa"/>
            <w:noWrap w:val="0"/>
            <w:vAlign w:val="center"/>
          </w:tcPr>
          <w:p>
            <w:pPr>
              <w:keepNext w:val="0"/>
              <w:keepLines w:val="0"/>
              <w:widowControl/>
              <w:suppressLineNumbers w:val="0"/>
              <w:jc w:val="center"/>
              <w:textAlignment w:val="center"/>
              <w:rPr>
                <w:rFonts w:hint="eastAsia" w:ascii="楷体" w:hAnsi="楷体" w:eastAsia="楷体" w:cs="楷体"/>
                <w:b w:val="0"/>
                <w:bCs/>
                <w:color w:val="auto"/>
                <w:sz w:val="22"/>
                <w:szCs w:val="22"/>
                <w:u w:val="none"/>
                <w:lang w:val="en-US" w:eastAsia="zh-CN"/>
              </w:rPr>
            </w:pPr>
            <w:r>
              <w:rPr>
                <w:rFonts w:hint="eastAsia" w:ascii="楷体" w:hAnsi="楷体" w:eastAsia="楷体" w:cs="楷体"/>
                <w:i w:val="0"/>
                <w:iCs w:val="0"/>
                <w:color w:val="000000"/>
                <w:kern w:val="0"/>
                <w:sz w:val="21"/>
                <w:szCs w:val="21"/>
                <w:u w:val="none"/>
                <w:lang w:val="en-US" w:eastAsia="zh-CN" w:bidi="ar"/>
              </w:rPr>
              <w:t>经济与管理学院</w:t>
            </w:r>
          </w:p>
        </w:tc>
        <w:tc>
          <w:tcPr>
            <w:tcW w:w="1139"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1"/>
                <w:szCs w:val="21"/>
                <w:u w:val="none"/>
                <w:lang w:val="en-US" w:eastAsia="zh-CN" w:bidi="ar"/>
              </w:rPr>
              <w:t>一般项目</w:t>
            </w:r>
          </w:p>
        </w:tc>
        <w:tc>
          <w:tcPr>
            <w:tcW w:w="1303" w:type="dxa"/>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iCs w:val="0"/>
                <w:color w:val="000000"/>
                <w:kern w:val="0"/>
                <w:sz w:val="21"/>
                <w:szCs w:val="21"/>
                <w:u w:val="none"/>
                <w:lang w:val="en-US" w:eastAsia="zh-CN" w:bidi="ar"/>
              </w:rPr>
              <w:t>不资助经费</w:t>
            </w:r>
          </w:p>
        </w:tc>
      </w:tr>
    </w:tbl>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DE4MGI4YzI5MTY5ZGFlZTE5YmJlMmFhNWY4ZDIifQ=="/>
  </w:docVars>
  <w:rsids>
    <w:rsidRoot w:val="5CFF7E02"/>
    <w:rsid w:val="5CFF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widowControl/>
      <w:ind w:firstLine="420"/>
    </w:pPr>
    <w:rPr>
      <w:color w:val="000000"/>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2024-04-03T09:49:00Z</dcterms:created>
  <dc:creator>Sunny</dc:creator>
  <cp:lastModifiedBy>Sunny</cp:lastModifiedBy>
  <dcterms:modified xsi:type="dcterms:W3CDTF">2024-04-03T09:49:44Z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CAC1744A59064708AC303892B19C1DE8_11</vt:lpwstr>
  </property>
</Properties>
</file>